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10"/>
        <w:gridCol w:w="2548"/>
        <w:gridCol w:w="1396"/>
      </w:tblGrid>
      <w:tr w:rsidR="00C96274" w:rsidRPr="00C32CC6" w:rsidTr="000273C9">
        <w:tc>
          <w:tcPr>
            <w:tcW w:w="5920" w:type="dxa"/>
            <w:vMerge w:val="restart"/>
            <w:shd w:val="clear" w:color="auto" w:fill="auto"/>
          </w:tcPr>
          <w:p w:rsidR="00C96274" w:rsidRPr="00C32CC6" w:rsidRDefault="00C96274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top"/>
            <w:bookmarkStart w:id="1" w:name="_GoBack"/>
            <w:bookmarkEnd w:id="0"/>
            <w:bookmarkEnd w:id="1"/>
          </w:p>
          <w:p w:rsidR="00C96274" w:rsidRPr="00C32CC6" w:rsidRDefault="002B0F04">
            <w:pPr>
              <w:rPr>
                <w:rFonts w:asciiTheme="minorHAnsi" w:hAnsiTheme="minorHAnsi"/>
                <w:sz w:val="24"/>
                <w:szCs w:val="24"/>
              </w:rPr>
            </w:pPr>
            <w:r w:rsidRPr="00C32CC6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3BF514" wp14:editId="1E35D623">
                  <wp:extent cx="809625" cy="419100"/>
                  <wp:effectExtent l="0" t="0" r="9525" b="0"/>
                  <wp:docPr id="1" name="Picture 1" descr="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74" w:rsidRPr="00C32CC6" w:rsidRDefault="00C962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6274" w:rsidRPr="00C32CC6" w:rsidRDefault="00C96274" w:rsidP="00EE2FED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96274" w:rsidRPr="00C32CC6" w:rsidRDefault="003C4AED" w:rsidP="00EE2FED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sz w:val="24"/>
                <w:szCs w:val="24"/>
              </w:rPr>
              <w:t>Board</w:t>
            </w:r>
            <w:r w:rsidR="00C96274" w:rsidRPr="00C32CC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Meeting</w:t>
            </w:r>
          </w:p>
        </w:tc>
        <w:tc>
          <w:tcPr>
            <w:tcW w:w="1382" w:type="dxa"/>
            <w:shd w:val="clear" w:color="auto" w:fill="auto"/>
          </w:tcPr>
          <w:p w:rsidR="00C96274" w:rsidRPr="00C32CC6" w:rsidRDefault="00C96274" w:rsidP="00EE2FED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96274" w:rsidRPr="00C32CC6" w:rsidRDefault="008D6387" w:rsidP="003E189D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27/01/2020</w:t>
            </w:r>
          </w:p>
        </w:tc>
      </w:tr>
      <w:tr w:rsidR="00C96274" w:rsidRPr="00C32CC6" w:rsidTr="000273C9">
        <w:tc>
          <w:tcPr>
            <w:tcW w:w="5920" w:type="dxa"/>
            <w:vMerge/>
            <w:shd w:val="clear" w:color="auto" w:fill="auto"/>
          </w:tcPr>
          <w:p w:rsidR="00C96274" w:rsidRPr="00C32CC6" w:rsidRDefault="00C962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6274" w:rsidRPr="00C32CC6" w:rsidRDefault="00C96274" w:rsidP="00EE2FED">
            <w:pPr>
              <w:spacing w:before="4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sz w:val="24"/>
                <w:szCs w:val="24"/>
              </w:rPr>
              <w:t>Agenda Item</w:t>
            </w:r>
          </w:p>
        </w:tc>
        <w:tc>
          <w:tcPr>
            <w:tcW w:w="1382" w:type="dxa"/>
            <w:shd w:val="clear" w:color="auto" w:fill="auto"/>
          </w:tcPr>
          <w:p w:rsidR="00C96274" w:rsidRPr="00C32CC6" w:rsidRDefault="00BC26B9" w:rsidP="00EE2FED">
            <w:pPr>
              <w:spacing w:before="40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9 (ii)</w:t>
            </w:r>
          </w:p>
        </w:tc>
      </w:tr>
    </w:tbl>
    <w:p w:rsidR="00833E88" w:rsidRPr="00C32CC6" w:rsidRDefault="00833E88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5"/>
        <w:gridCol w:w="6959"/>
      </w:tblGrid>
      <w:tr w:rsidR="002818DB" w:rsidRPr="00C32CC6" w:rsidTr="000273C9">
        <w:tc>
          <w:tcPr>
            <w:tcW w:w="2895" w:type="dxa"/>
            <w:shd w:val="clear" w:color="auto" w:fill="auto"/>
          </w:tcPr>
          <w:p w:rsidR="002818DB" w:rsidRPr="00C32CC6" w:rsidRDefault="002818DB" w:rsidP="00161481">
            <w:pPr>
              <w:spacing w:before="40" w:after="4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6959" w:type="dxa"/>
            <w:shd w:val="clear" w:color="auto" w:fill="auto"/>
          </w:tcPr>
          <w:p w:rsidR="002818DB" w:rsidRPr="00C32CC6" w:rsidRDefault="003C4AED" w:rsidP="00161481">
            <w:pPr>
              <w:spacing w:before="40" w:after="4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sz w:val="24"/>
                <w:szCs w:val="24"/>
              </w:rPr>
              <w:t>Reporting to the Board</w:t>
            </w:r>
          </w:p>
        </w:tc>
      </w:tr>
      <w:tr w:rsidR="002818DB" w:rsidRPr="00C32CC6" w:rsidTr="000273C9">
        <w:tc>
          <w:tcPr>
            <w:tcW w:w="2895" w:type="dxa"/>
            <w:shd w:val="clear" w:color="auto" w:fill="auto"/>
          </w:tcPr>
          <w:p w:rsidR="002818DB" w:rsidRPr="00C32CC6" w:rsidRDefault="002818DB" w:rsidP="00161481">
            <w:pPr>
              <w:spacing w:before="40" w:after="4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6959" w:type="dxa"/>
            <w:shd w:val="clear" w:color="auto" w:fill="auto"/>
          </w:tcPr>
          <w:p w:rsidR="002818DB" w:rsidRPr="00C32CC6" w:rsidRDefault="004E0B16" w:rsidP="003C4AED">
            <w:pPr>
              <w:spacing w:before="40" w:after="4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sz w:val="24"/>
                <w:szCs w:val="24"/>
              </w:rPr>
              <w:t xml:space="preserve">For </w:t>
            </w:r>
            <w:r w:rsidR="00C96274" w:rsidRPr="00C32CC6">
              <w:rPr>
                <w:rFonts w:asciiTheme="minorHAnsi" w:hAnsiTheme="minorHAnsi" w:cs="Calibri"/>
                <w:b/>
                <w:sz w:val="24"/>
                <w:szCs w:val="24"/>
              </w:rPr>
              <w:t>Note</w:t>
            </w:r>
          </w:p>
        </w:tc>
      </w:tr>
      <w:tr w:rsidR="002818DB" w:rsidRPr="00C32CC6" w:rsidTr="000273C9">
        <w:tc>
          <w:tcPr>
            <w:tcW w:w="2895" w:type="dxa"/>
            <w:shd w:val="clear" w:color="auto" w:fill="auto"/>
          </w:tcPr>
          <w:p w:rsidR="002818DB" w:rsidRPr="00C32CC6" w:rsidRDefault="002818DB" w:rsidP="00161481">
            <w:pPr>
              <w:spacing w:before="40" w:after="40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sz w:val="24"/>
                <w:szCs w:val="24"/>
              </w:rPr>
              <w:t>From</w:t>
            </w:r>
          </w:p>
        </w:tc>
        <w:tc>
          <w:tcPr>
            <w:tcW w:w="6959" w:type="dxa"/>
            <w:shd w:val="clear" w:color="auto" w:fill="auto"/>
          </w:tcPr>
          <w:p w:rsidR="00C96274" w:rsidRPr="00C32CC6" w:rsidRDefault="003C4AED" w:rsidP="00C96274">
            <w:pPr>
              <w:spacing w:before="40" w:after="40"/>
              <w:rPr>
                <w:rFonts w:asciiTheme="minorHAnsi" w:hAnsiTheme="minorHAnsi" w:cs="Calibri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sz w:val="24"/>
                <w:szCs w:val="24"/>
              </w:rPr>
              <w:t>Operational Management Group</w:t>
            </w:r>
          </w:p>
          <w:p w:rsidR="002818DB" w:rsidRPr="00C32CC6" w:rsidRDefault="002818DB" w:rsidP="00161481">
            <w:pPr>
              <w:spacing w:before="40" w:after="4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0273C9" w:rsidRPr="00C32CC6" w:rsidRDefault="000273C9" w:rsidP="00161481">
      <w:pPr>
        <w:spacing w:before="40" w:after="40"/>
        <w:rPr>
          <w:rFonts w:asciiTheme="minorHAnsi" w:hAnsiTheme="minorHAnsi"/>
          <w:vanish/>
        </w:rPr>
      </w:pPr>
    </w:p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06131" w:rsidRPr="00C32CC6" w:rsidTr="00306131">
        <w:trPr>
          <w:trHeight w:val="547"/>
        </w:trPr>
        <w:tc>
          <w:tcPr>
            <w:tcW w:w="9889" w:type="dxa"/>
          </w:tcPr>
          <w:p w:rsidR="00306131" w:rsidRPr="00C32CC6" w:rsidRDefault="00C96274" w:rsidP="003C4AED">
            <w:pPr>
              <w:spacing w:before="40" w:after="40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If you have any enquiries on this paper, please contact </w:t>
            </w:r>
            <w:r w:rsidR="003C4AED"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Simon Howard</w:t>
            </w: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 at </w:t>
            </w:r>
            <w:hyperlink r:id="rId10" w:history="1">
              <w:r w:rsidR="003C4AED" w:rsidRPr="00C32CC6">
                <w:rPr>
                  <w:rStyle w:val="Hyperlink"/>
                  <w:rFonts w:asciiTheme="minorHAnsi" w:hAnsiTheme="minorHAnsi" w:cs="Calibri"/>
                  <w:b/>
                  <w:sz w:val="24"/>
                  <w:szCs w:val="24"/>
                </w:rPr>
                <w:t>simonh@arb.org.uk</w:t>
              </w:r>
            </w:hyperlink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 or on 020 7580 5861</w:t>
            </w:r>
          </w:p>
        </w:tc>
      </w:tr>
    </w:tbl>
    <w:p w:rsidR="005D356A" w:rsidRPr="00C32CC6" w:rsidRDefault="005D356A" w:rsidP="00161481">
      <w:pPr>
        <w:spacing w:before="40" w:after="40"/>
        <w:ind w:left="567" w:hanging="567"/>
        <w:rPr>
          <w:rFonts w:asciiTheme="minorHAnsi" w:hAnsiTheme="minorHAnsi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16"/>
        <w:gridCol w:w="976"/>
        <w:gridCol w:w="8328"/>
        <w:gridCol w:w="35"/>
      </w:tblGrid>
      <w:tr w:rsidR="00F353A7" w:rsidRPr="00C32CC6" w:rsidTr="00306131">
        <w:tc>
          <w:tcPr>
            <w:tcW w:w="534" w:type="dxa"/>
            <w:vMerge w:val="restart"/>
            <w:shd w:val="clear" w:color="auto" w:fill="auto"/>
          </w:tcPr>
          <w:p w:rsidR="00F353A7" w:rsidRPr="00C32CC6" w:rsidRDefault="00F353A7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1.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F353A7" w:rsidRPr="00C32CC6" w:rsidRDefault="00C96274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Summary</w:t>
            </w:r>
          </w:p>
        </w:tc>
      </w:tr>
      <w:tr w:rsidR="00F353A7" w:rsidRPr="00C32CC6" w:rsidTr="00306131">
        <w:tc>
          <w:tcPr>
            <w:tcW w:w="534" w:type="dxa"/>
            <w:vMerge/>
            <w:shd w:val="clear" w:color="auto" w:fill="auto"/>
          </w:tcPr>
          <w:p w:rsidR="00F353A7" w:rsidRPr="00C32CC6" w:rsidRDefault="00F353A7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353A7" w:rsidRPr="00C32CC6" w:rsidRDefault="003C4AED" w:rsidP="00A02570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sz w:val="24"/>
                <w:szCs w:val="24"/>
              </w:rPr>
              <w:t xml:space="preserve">To provide the Board with a </w:t>
            </w:r>
            <w:r w:rsidR="00453E5C" w:rsidRPr="00C32CC6">
              <w:rPr>
                <w:rFonts w:asciiTheme="minorHAnsi" w:hAnsiTheme="minorHAnsi" w:cs="Calibri"/>
                <w:sz w:val="24"/>
                <w:szCs w:val="24"/>
              </w:rPr>
              <w:t xml:space="preserve">statistical </w:t>
            </w:r>
            <w:r w:rsidRPr="00C32CC6">
              <w:rPr>
                <w:rFonts w:asciiTheme="minorHAnsi" w:hAnsiTheme="minorHAnsi" w:cs="Calibri"/>
                <w:sz w:val="24"/>
                <w:szCs w:val="24"/>
              </w:rPr>
              <w:t xml:space="preserve">report on ARB’s </w:t>
            </w:r>
            <w:r w:rsidR="00A02570">
              <w:rPr>
                <w:rFonts w:asciiTheme="minorHAnsi" w:hAnsiTheme="minorHAnsi" w:cs="Calibri"/>
                <w:sz w:val="24"/>
                <w:szCs w:val="24"/>
              </w:rPr>
              <w:t>business</w:t>
            </w:r>
            <w:r w:rsidRPr="00C32CC6">
              <w:rPr>
                <w:rFonts w:asciiTheme="minorHAnsi" w:hAnsiTheme="minorHAnsi" w:cs="Calibri"/>
                <w:sz w:val="24"/>
                <w:szCs w:val="24"/>
              </w:rPr>
              <w:t xml:space="preserve"> for January to December 201</w:t>
            </w:r>
            <w:r w:rsidR="003E189D" w:rsidRPr="00C32CC6">
              <w:rPr>
                <w:rFonts w:asciiTheme="minorHAnsi" w:hAnsiTheme="minorHAnsi" w:cs="Calibri"/>
                <w:sz w:val="24"/>
                <w:szCs w:val="24"/>
              </w:rPr>
              <w:t>9</w:t>
            </w:r>
            <w:r w:rsidRPr="00C32CC6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0015F4" w:rsidRPr="00C32CC6" w:rsidTr="0030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5F4" w:rsidRPr="00C32CC6" w:rsidRDefault="000015F4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226" w:rsidRPr="00C32CC6" w:rsidRDefault="00871226" w:rsidP="009402F1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D7807" w:rsidRPr="00C32CC6" w:rsidTr="0030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07" w:rsidRPr="00C32CC6" w:rsidRDefault="00C96274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2</w:t>
            </w:r>
            <w:r w:rsidR="00CD7807"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. 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07" w:rsidRPr="00C32CC6" w:rsidRDefault="004E0B16" w:rsidP="003C4AED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Open</w:t>
            </w:r>
            <w:r w:rsidR="003C4AED"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 </w:t>
            </w:r>
            <w:r w:rsidR="00C96274"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Session</w:t>
            </w:r>
          </w:p>
        </w:tc>
      </w:tr>
      <w:tr w:rsidR="00CD7807" w:rsidRPr="00C32CC6" w:rsidTr="0030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07" w:rsidRPr="00C32CC6" w:rsidRDefault="00CD7807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226" w:rsidRPr="00C32CC6" w:rsidRDefault="00871226" w:rsidP="003C4AED">
            <w:pPr>
              <w:spacing w:before="40" w:after="4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71226" w:rsidRPr="00C32CC6" w:rsidTr="00306131">
        <w:tc>
          <w:tcPr>
            <w:tcW w:w="534" w:type="dxa"/>
            <w:vMerge w:val="restart"/>
            <w:shd w:val="clear" w:color="auto" w:fill="auto"/>
          </w:tcPr>
          <w:p w:rsidR="00871226" w:rsidRPr="00C32CC6" w:rsidRDefault="00C96274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3</w:t>
            </w:r>
            <w:r w:rsidR="00871226"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.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871226" w:rsidRPr="00C32CC6" w:rsidRDefault="00871226" w:rsidP="00161481">
            <w:pPr>
              <w:spacing w:before="40" w:after="40" w:line="240" w:lineRule="atLeast"/>
              <w:ind w:left="567" w:hanging="567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Contribution to the Board’s Purpose and Objectives</w:t>
            </w:r>
          </w:p>
        </w:tc>
      </w:tr>
      <w:tr w:rsidR="00871226" w:rsidRPr="00C32CC6" w:rsidTr="00306131">
        <w:tc>
          <w:tcPr>
            <w:tcW w:w="534" w:type="dxa"/>
            <w:vMerge/>
            <w:shd w:val="clear" w:color="auto" w:fill="auto"/>
          </w:tcPr>
          <w:p w:rsidR="00871226" w:rsidRPr="00C32CC6" w:rsidRDefault="00871226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3C4AED" w:rsidRPr="00C32CC6" w:rsidRDefault="003C4AED" w:rsidP="003C4AED">
            <w:pPr>
              <w:spacing w:before="40" w:after="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sz w:val="24"/>
                <w:szCs w:val="24"/>
              </w:rPr>
              <w:t>In delivering t</w:t>
            </w:r>
            <w:r w:rsidR="00C32CC6">
              <w:rPr>
                <w:rFonts w:asciiTheme="minorHAnsi" w:hAnsiTheme="minorHAnsi" w:cs="Calibri"/>
                <w:sz w:val="24"/>
                <w:szCs w:val="24"/>
              </w:rPr>
              <w:t>he Act, ARB’s objectives are to</w:t>
            </w:r>
            <w:r w:rsidRPr="00C32CC6">
              <w:rPr>
                <w:rFonts w:asciiTheme="minorHAnsi" w:hAnsiTheme="minorHAnsi" w:cs="Calibri"/>
                <w:sz w:val="24"/>
                <w:szCs w:val="24"/>
              </w:rPr>
              <w:t xml:space="preserve"> protect the consumer and support architects through regulation.</w:t>
            </w:r>
          </w:p>
          <w:p w:rsidR="003C4AED" w:rsidRPr="00C32CC6" w:rsidRDefault="003C4AED" w:rsidP="003C4AED">
            <w:pPr>
              <w:spacing w:before="40" w:after="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871226" w:rsidRPr="00C32CC6" w:rsidRDefault="003C4AED" w:rsidP="00A90810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sz w:val="24"/>
                <w:szCs w:val="24"/>
              </w:rPr>
              <w:t>Providing the Board with information on ARB’s operational performance from January to December 201</w:t>
            </w:r>
            <w:r w:rsidR="003E189D" w:rsidRPr="00C32CC6">
              <w:rPr>
                <w:rFonts w:asciiTheme="minorHAnsi" w:hAnsiTheme="minorHAnsi" w:cs="Calibri"/>
                <w:sz w:val="24"/>
                <w:szCs w:val="24"/>
              </w:rPr>
              <w:t>8</w:t>
            </w:r>
            <w:r w:rsidRPr="00C32CC6">
              <w:rPr>
                <w:rFonts w:asciiTheme="minorHAnsi" w:hAnsiTheme="minorHAnsi" w:cs="Calibri"/>
                <w:sz w:val="24"/>
                <w:szCs w:val="24"/>
              </w:rPr>
              <w:t xml:space="preserve"> demonstrates how these objectives are being met.</w:t>
            </w:r>
          </w:p>
        </w:tc>
      </w:tr>
      <w:tr w:rsidR="00062314" w:rsidRPr="00C32CC6" w:rsidTr="00653153">
        <w:tc>
          <w:tcPr>
            <w:tcW w:w="534" w:type="dxa"/>
            <w:shd w:val="clear" w:color="auto" w:fill="auto"/>
          </w:tcPr>
          <w:p w:rsidR="00062314" w:rsidRPr="00C32CC6" w:rsidRDefault="00062314" w:rsidP="00653153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062314" w:rsidRPr="00C32CC6" w:rsidRDefault="00062314" w:rsidP="00653153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</w:p>
        </w:tc>
      </w:tr>
      <w:tr w:rsidR="00F353A7" w:rsidRPr="00C32CC6" w:rsidTr="00653153">
        <w:tc>
          <w:tcPr>
            <w:tcW w:w="534" w:type="dxa"/>
            <w:vMerge w:val="restart"/>
            <w:shd w:val="clear" w:color="auto" w:fill="auto"/>
          </w:tcPr>
          <w:p w:rsidR="00F353A7" w:rsidRPr="00C32CC6" w:rsidRDefault="00C96274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4</w:t>
            </w:r>
            <w:r w:rsidR="00F353A7"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.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F353A7" w:rsidRPr="00C32CC6" w:rsidRDefault="003767D4" w:rsidP="00766CE4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2"/>
                <w:szCs w:val="22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Key Points</w:t>
            </w:r>
            <w:r w:rsidR="00871226" w:rsidRPr="00C32CC6">
              <w:rPr>
                <w:rFonts w:asciiTheme="minorHAnsi" w:hAnsiTheme="minorHAnsi" w:cs="Calibri"/>
                <w:b/>
                <w:color w:val="4F81BD"/>
                <w:sz w:val="22"/>
                <w:szCs w:val="22"/>
              </w:rPr>
              <w:t xml:space="preserve"> </w:t>
            </w:r>
          </w:p>
          <w:p w:rsidR="00C96274" w:rsidRPr="00C32CC6" w:rsidRDefault="00C96274" w:rsidP="00766CE4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01B16" w:rsidRPr="00C32CC6" w:rsidTr="00653153">
        <w:tc>
          <w:tcPr>
            <w:tcW w:w="534" w:type="dxa"/>
            <w:vMerge/>
            <w:shd w:val="clear" w:color="auto" w:fill="auto"/>
          </w:tcPr>
          <w:p w:rsidR="00101B16" w:rsidRPr="00C32CC6" w:rsidRDefault="00101B16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01B16" w:rsidRPr="00C32CC6" w:rsidRDefault="00101B16" w:rsidP="00161481">
            <w:pPr>
              <w:numPr>
                <w:ilvl w:val="0"/>
                <w:numId w:val="3"/>
              </w:numPr>
              <w:spacing w:before="40" w:after="40" w:line="24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11CD5" w:rsidRPr="00C32CC6" w:rsidRDefault="00011CD5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66CE4" w:rsidRPr="00C32CC6" w:rsidRDefault="003C4AED" w:rsidP="009402F1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sz w:val="24"/>
                <w:szCs w:val="24"/>
              </w:rPr>
              <w:t>This information is reported to the Board at six-monthly intervals. Its aim is to encapsulate all elements of ARB’s work in the calendar year, and allow Board members to use the information to consider performance, statistics and trends</w:t>
            </w:r>
            <w:r w:rsidR="00A02570">
              <w:rPr>
                <w:rFonts w:asciiTheme="minorHAnsi" w:hAnsiTheme="minorHAnsi" w:cs="Calibri"/>
                <w:sz w:val="24"/>
                <w:szCs w:val="24"/>
              </w:rPr>
              <w:t xml:space="preserve"> so as to aid policy making</w:t>
            </w:r>
            <w:r w:rsidRPr="00C32CC6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250472" w:rsidRPr="00C32CC6" w:rsidRDefault="00250472" w:rsidP="009402F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0472" w:rsidRPr="00C32CC6" w:rsidTr="00653153">
        <w:tc>
          <w:tcPr>
            <w:tcW w:w="534" w:type="dxa"/>
            <w:vMerge/>
            <w:shd w:val="clear" w:color="auto" w:fill="auto"/>
          </w:tcPr>
          <w:p w:rsidR="00250472" w:rsidRPr="00C32CC6" w:rsidRDefault="00250472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50472" w:rsidRPr="00C32CC6" w:rsidRDefault="00250472" w:rsidP="00161481">
            <w:pPr>
              <w:numPr>
                <w:ilvl w:val="0"/>
                <w:numId w:val="3"/>
              </w:numPr>
              <w:spacing w:before="40" w:after="40" w:line="24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50472" w:rsidRPr="00C32CC6" w:rsidRDefault="00BC26B9" w:rsidP="00250472">
            <w:pPr>
              <w:spacing w:before="40" w:after="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Calibri"/>
                <w:sz w:val="24"/>
                <w:szCs w:val="24"/>
              </w:rPr>
              <w:t xml:space="preserve">Staff </w:t>
            </w:r>
            <w:r w:rsidR="003E189D" w:rsidRPr="00C32CC6">
              <w:rPr>
                <w:rFonts w:asciiTheme="minorHAnsi" w:hAnsiTheme="minorHAnsi" w:cs="Calibri"/>
                <w:sz w:val="24"/>
                <w:szCs w:val="24"/>
              </w:rPr>
              <w:t>are</w:t>
            </w:r>
            <w:proofErr w:type="gramEnd"/>
            <w:r w:rsidR="003E189D" w:rsidRPr="00C32CC6">
              <w:rPr>
                <w:rFonts w:asciiTheme="minorHAnsi" w:hAnsiTheme="minorHAnsi" w:cs="Calibri"/>
                <w:sz w:val="24"/>
                <w:szCs w:val="24"/>
              </w:rPr>
              <w:t xml:space="preserve"> currently carrying out a comprehensive review of how statistics and information are reported, and how ARB can measure and communicate the impact its work has. </w:t>
            </w:r>
            <w:r w:rsidR="00A02570">
              <w:rPr>
                <w:rFonts w:asciiTheme="minorHAnsi" w:hAnsiTheme="minorHAnsi" w:cs="Calibri"/>
                <w:sz w:val="24"/>
                <w:szCs w:val="24"/>
              </w:rPr>
              <w:t>F</w:t>
            </w:r>
            <w:r w:rsidR="003E189D" w:rsidRPr="00C32CC6">
              <w:rPr>
                <w:rFonts w:asciiTheme="minorHAnsi" w:hAnsiTheme="minorHAnsi" w:cs="Calibri"/>
                <w:sz w:val="24"/>
                <w:szCs w:val="24"/>
              </w:rPr>
              <w:t>eedback of Board members is always welcomed on the information they would like to see in order to assist them, and the style in which it is presented.</w:t>
            </w:r>
            <w:r w:rsidR="00B707DF">
              <w:rPr>
                <w:rFonts w:asciiTheme="minorHAnsi" w:hAnsiTheme="minorHAnsi" w:cs="Calibri"/>
                <w:sz w:val="24"/>
                <w:szCs w:val="24"/>
              </w:rPr>
              <w:t xml:space="preserve"> A Board session on this area is planned for later in the year.</w:t>
            </w:r>
          </w:p>
          <w:p w:rsidR="00250472" w:rsidRPr="00C32CC6" w:rsidRDefault="00250472" w:rsidP="00250472">
            <w:pPr>
              <w:spacing w:before="40" w:after="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101B16" w:rsidRPr="00C32CC6" w:rsidTr="00653153">
        <w:tc>
          <w:tcPr>
            <w:tcW w:w="534" w:type="dxa"/>
            <w:vMerge/>
            <w:shd w:val="clear" w:color="auto" w:fill="auto"/>
          </w:tcPr>
          <w:p w:rsidR="00101B16" w:rsidRPr="00C32CC6" w:rsidRDefault="00101B16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01B16" w:rsidRPr="00C32CC6" w:rsidRDefault="00101B16" w:rsidP="00161481">
            <w:pPr>
              <w:numPr>
                <w:ilvl w:val="0"/>
                <w:numId w:val="3"/>
              </w:numPr>
              <w:spacing w:before="40" w:after="40" w:line="24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3C4AED" w:rsidRPr="00C32CC6" w:rsidRDefault="003C4AED" w:rsidP="003C4AED">
            <w:pPr>
              <w:spacing w:before="40" w:after="4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Annex A</w:t>
            </w:r>
            <w:r w:rsidRPr="00C32CC6">
              <w:rPr>
                <w:rFonts w:asciiTheme="minorHAnsi" w:hAnsiTheme="minorHAnsi" w:cs="Calibri"/>
                <w:sz w:val="24"/>
                <w:szCs w:val="24"/>
              </w:rPr>
              <w:t xml:space="preserve"> provides a detailed report on statistics and trends. It also contains an annual report of the Equality &amp; Diversity information ARB holds about the Register</w:t>
            </w:r>
            <w:r w:rsidR="003E189D" w:rsidRPr="00C32CC6">
              <w:rPr>
                <w:rFonts w:asciiTheme="minorHAnsi" w:hAnsiTheme="minorHAnsi" w:cs="Calibri"/>
                <w:sz w:val="24"/>
                <w:szCs w:val="24"/>
              </w:rPr>
              <w:t xml:space="preserve"> of Architects</w:t>
            </w:r>
            <w:r w:rsidRPr="00C32CC6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="00632057" w:rsidRPr="00C32CC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C2705C" w:rsidRPr="00C32CC6" w:rsidRDefault="00C2705C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AED" w:rsidRPr="00C32CC6" w:rsidTr="00653153">
        <w:tc>
          <w:tcPr>
            <w:tcW w:w="534" w:type="dxa"/>
            <w:shd w:val="clear" w:color="auto" w:fill="auto"/>
          </w:tcPr>
          <w:p w:rsidR="003C4AED" w:rsidRPr="00C32CC6" w:rsidRDefault="003C4AED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C4AED" w:rsidRPr="00C32CC6" w:rsidRDefault="003C4AED" w:rsidP="00161481">
            <w:pPr>
              <w:numPr>
                <w:ilvl w:val="0"/>
                <w:numId w:val="3"/>
              </w:numPr>
              <w:spacing w:before="40" w:after="40" w:line="24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74083" w:rsidRPr="00C32CC6" w:rsidRDefault="00074083" w:rsidP="00074083">
            <w:pPr>
              <w:spacing w:before="40" w:after="40"/>
              <w:rPr>
                <w:rFonts w:asciiTheme="minorHAnsi" w:hAnsiTheme="minorHAnsi" w:cs="Calibri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Annex </w:t>
            </w:r>
            <w:r w:rsidR="006F5E50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B</w:t>
            </w:r>
            <w:r w:rsidRPr="00C32CC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C32CC6">
              <w:rPr>
                <w:rFonts w:asciiTheme="minorHAnsi" w:hAnsiTheme="minorHAnsi" w:cs="Calibri"/>
                <w:sz w:val="24"/>
                <w:szCs w:val="24"/>
              </w:rPr>
              <w:t>provides an “at a glance” statistical analysis on figures and trends.</w:t>
            </w:r>
          </w:p>
          <w:p w:rsidR="003C4AED" w:rsidRPr="00C32CC6" w:rsidRDefault="003C4AED" w:rsidP="009402F1">
            <w:pPr>
              <w:spacing w:before="40" w:after="4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74083" w:rsidRPr="00C32CC6" w:rsidTr="00653153">
        <w:tc>
          <w:tcPr>
            <w:tcW w:w="534" w:type="dxa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4083" w:rsidRPr="00C32CC6" w:rsidRDefault="00074083" w:rsidP="00161481">
            <w:pPr>
              <w:numPr>
                <w:ilvl w:val="0"/>
                <w:numId w:val="3"/>
              </w:numPr>
              <w:spacing w:before="40" w:after="40" w:line="240" w:lineRule="atLeas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74083" w:rsidRPr="00C32CC6" w:rsidRDefault="00074083" w:rsidP="008A03F7">
            <w:pPr>
              <w:spacing w:before="40" w:after="40"/>
              <w:rPr>
                <w:rFonts w:asciiTheme="minorHAnsi" w:hAnsiTheme="minorHAnsi" w:cs="Calibri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sz w:val="24"/>
                <w:szCs w:val="24"/>
              </w:rPr>
              <w:t>The areas the Board may particularly wish to note are that:</w:t>
            </w:r>
          </w:p>
          <w:p w:rsidR="00074083" w:rsidRPr="00B717E8" w:rsidRDefault="004817A2" w:rsidP="00074083">
            <w:pPr>
              <w:numPr>
                <w:ilvl w:val="0"/>
                <w:numId w:val="4"/>
              </w:numPr>
              <w:spacing w:before="40" w:after="40"/>
              <w:ind w:left="459" w:hanging="459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717E8">
              <w:rPr>
                <w:rFonts w:asciiTheme="minorHAnsi" w:hAnsiTheme="minorHAnsi" w:cs="Calibri"/>
                <w:sz w:val="24"/>
                <w:szCs w:val="24"/>
              </w:rPr>
              <w:t>The Register continues to grow</w:t>
            </w:r>
            <w:r w:rsidR="006F5E50">
              <w:rPr>
                <w:rFonts w:asciiTheme="minorHAnsi" w:hAnsiTheme="minorHAnsi" w:cs="Calibri"/>
                <w:sz w:val="24"/>
                <w:szCs w:val="24"/>
              </w:rPr>
              <w:t xml:space="preserve"> by more than a thousand architects a year</w:t>
            </w:r>
            <w:r w:rsidRPr="00B717E8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r w:rsidR="006F5E50">
              <w:rPr>
                <w:rFonts w:asciiTheme="minorHAnsi" w:hAnsiTheme="minorHAnsi" w:cs="Calibri"/>
                <w:sz w:val="24"/>
                <w:szCs w:val="24"/>
              </w:rPr>
              <w:t>with the number of new entries back up to the level of 2017 after a drop in 2018; and</w:t>
            </w:r>
          </w:p>
          <w:p w:rsidR="00074083" w:rsidRPr="00627501" w:rsidRDefault="004817A2" w:rsidP="00074083">
            <w:pPr>
              <w:numPr>
                <w:ilvl w:val="0"/>
                <w:numId w:val="4"/>
              </w:numPr>
              <w:spacing w:before="40" w:after="40"/>
              <w:ind w:left="459" w:hanging="459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627501">
              <w:rPr>
                <w:rFonts w:asciiTheme="minorHAnsi" w:hAnsiTheme="minorHAnsi" w:cs="Calibri"/>
                <w:sz w:val="24"/>
                <w:szCs w:val="24"/>
              </w:rPr>
              <w:t>The</w:t>
            </w:r>
            <w:r w:rsidR="00627501" w:rsidRPr="00627501">
              <w:rPr>
                <w:rFonts w:asciiTheme="minorHAnsi" w:hAnsiTheme="minorHAnsi" w:cs="Calibri"/>
                <w:sz w:val="24"/>
                <w:szCs w:val="24"/>
              </w:rPr>
              <w:t xml:space="preserve">re has been </w:t>
            </w:r>
            <w:r w:rsidR="00B707DF">
              <w:rPr>
                <w:rFonts w:asciiTheme="minorHAnsi" w:hAnsiTheme="minorHAnsi" w:cs="Calibri"/>
                <w:sz w:val="24"/>
                <w:szCs w:val="24"/>
              </w:rPr>
              <w:t>an</w:t>
            </w:r>
            <w:r w:rsidR="00627501" w:rsidRPr="00627501">
              <w:rPr>
                <w:rFonts w:asciiTheme="minorHAnsi" w:hAnsiTheme="minorHAnsi" w:cs="Calibri"/>
                <w:sz w:val="24"/>
                <w:szCs w:val="24"/>
              </w:rPr>
              <w:t xml:space="preserve"> increase in the</w:t>
            </w:r>
            <w:r w:rsidRPr="00627501">
              <w:rPr>
                <w:rFonts w:asciiTheme="minorHAnsi" w:hAnsiTheme="minorHAnsi" w:cs="Calibri"/>
                <w:sz w:val="24"/>
                <w:szCs w:val="24"/>
              </w:rPr>
              <w:t xml:space="preserve"> number of </w:t>
            </w:r>
            <w:r w:rsidR="00B707DF">
              <w:rPr>
                <w:rFonts w:asciiTheme="minorHAnsi" w:hAnsiTheme="minorHAnsi" w:cs="Calibri"/>
                <w:sz w:val="24"/>
                <w:szCs w:val="24"/>
              </w:rPr>
              <w:t>complaints about architects’ conduct and competence, and also the increased staff resource in regulation of title work had led to a higher number of misuse of title cases</w:t>
            </w:r>
            <w:r w:rsidRPr="0062750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074083" w:rsidRPr="00C32CC6" w:rsidRDefault="00074083" w:rsidP="006F5E50">
            <w:pPr>
              <w:spacing w:before="40" w:after="40"/>
              <w:ind w:left="459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74083" w:rsidRPr="00C32CC6" w:rsidTr="00306131">
        <w:tc>
          <w:tcPr>
            <w:tcW w:w="534" w:type="dxa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5.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Resource Implications</w:t>
            </w:r>
          </w:p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sz w:val="24"/>
                <w:szCs w:val="24"/>
              </w:rPr>
              <w:t>Producing this report requires staff time, particularly where statistical information is not automatically provided by ARB’s current systems.  On-going enhancement of the organisation’s management information systems will assist in producing the information more efficiently.</w:t>
            </w:r>
          </w:p>
        </w:tc>
      </w:tr>
      <w:tr w:rsidR="00074083" w:rsidRPr="00C32CC6" w:rsidTr="00306131">
        <w:tc>
          <w:tcPr>
            <w:tcW w:w="534" w:type="dxa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</w:p>
        </w:tc>
      </w:tr>
      <w:tr w:rsidR="00074083" w:rsidRPr="00C32CC6" w:rsidTr="00306131">
        <w:tc>
          <w:tcPr>
            <w:tcW w:w="534" w:type="dxa"/>
            <w:vMerge w:val="restart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6.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Risk Implications</w:t>
            </w:r>
          </w:p>
        </w:tc>
      </w:tr>
      <w:tr w:rsidR="00074083" w:rsidRPr="00C32CC6" w:rsidTr="00306131">
        <w:tc>
          <w:tcPr>
            <w:tcW w:w="534" w:type="dxa"/>
            <w:vMerge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074083" w:rsidRPr="00C32CC6" w:rsidRDefault="00A02570" w:rsidP="00A02570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The strategic use of </w:t>
            </w:r>
            <w:r w:rsidR="00074083" w:rsidRPr="00C32CC6">
              <w:rPr>
                <w:rFonts w:asciiTheme="minorHAnsi" w:hAnsiTheme="minorHAnsi" w:cs="Calibri"/>
                <w:sz w:val="24"/>
                <w:szCs w:val="24"/>
              </w:rPr>
              <w:t xml:space="preserve">management information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allows Board members to make informed policy decisions after taking into account likely resource requirements. </w:t>
            </w:r>
          </w:p>
        </w:tc>
      </w:tr>
      <w:tr w:rsidR="00074083" w:rsidRPr="00C32CC6" w:rsidTr="00306131">
        <w:tc>
          <w:tcPr>
            <w:tcW w:w="534" w:type="dxa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74083" w:rsidRPr="00C32CC6" w:rsidTr="00306131">
        <w:tc>
          <w:tcPr>
            <w:tcW w:w="534" w:type="dxa"/>
            <w:vMerge w:val="restart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7. 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Communication</w:t>
            </w:r>
          </w:p>
        </w:tc>
      </w:tr>
      <w:tr w:rsidR="00074083" w:rsidRPr="00C32CC6" w:rsidTr="00306131">
        <w:tc>
          <w:tcPr>
            <w:tcW w:w="534" w:type="dxa"/>
            <w:vMerge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074083" w:rsidRPr="00C32CC6" w:rsidRDefault="0097758B" w:rsidP="00A02570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sz w:val="24"/>
                <w:szCs w:val="24"/>
              </w:rPr>
              <w:t>T</w:t>
            </w:r>
            <w:r w:rsidR="00074083" w:rsidRPr="00C32CC6">
              <w:rPr>
                <w:rFonts w:asciiTheme="minorHAnsi" w:hAnsiTheme="minorHAnsi" w:cs="Calibri"/>
                <w:sz w:val="24"/>
                <w:szCs w:val="24"/>
              </w:rPr>
              <w:t>he Board receives six-monthly updates covering the different areas of ARB’s operations</w:t>
            </w:r>
            <w:r w:rsidR="00632057" w:rsidRPr="00C32CC6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="00074083" w:rsidRPr="00C32CC6">
              <w:rPr>
                <w:rFonts w:asciiTheme="minorHAnsi" w:hAnsiTheme="minorHAnsi" w:cs="Calibri"/>
                <w:sz w:val="24"/>
                <w:szCs w:val="24"/>
              </w:rPr>
              <w:t xml:space="preserve"> The report is placed on the open session agenda and is published in full on the Board’s website.</w:t>
            </w:r>
            <w:r w:rsidR="00232D91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</w:tc>
      </w:tr>
      <w:tr w:rsidR="00074083" w:rsidRPr="00C32CC6" w:rsidTr="00306131">
        <w:tc>
          <w:tcPr>
            <w:tcW w:w="534" w:type="dxa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74083" w:rsidRPr="00C32CC6" w:rsidTr="00306131">
        <w:trPr>
          <w:gridAfter w:val="1"/>
          <w:wAfter w:w="35" w:type="dxa"/>
        </w:trPr>
        <w:tc>
          <w:tcPr>
            <w:tcW w:w="550" w:type="dxa"/>
            <w:gridSpan w:val="2"/>
            <w:vMerge w:val="restart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8.</w:t>
            </w:r>
          </w:p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</w:p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</w:p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</w:p>
          <w:p w:rsidR="00282A89" w:rsidRPr="00C32CC6" w:rsidRDefault="00282A89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</w:p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 xml:space="preserve">9. </w:t>
            </w:r>
          </w:p>
        </w:tc>
        <w:tc>
          <w:tcPr>
            <w:tcW w:w="9304" w:type="dxa"/>
            <w:gridSpan w:val="2"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  <w:t>Equality and Diversity Implications</w:t>
            </w:r>
          </w:p>
          <w:p w:rsidR="00627501" w:rsidRPr="00C32CC6" w:rsidRDefault="00074083" w:rsidP="00A02570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sz w:val="24"/>
                <w:szCs w:val="24"/>
              </w:rPr>
              <w:t xml:space="preserve">ARB’s efforts to collect Equality and Diversity information </w:t>
            </w:r>
            <w:r w:rsidR="00282A89" w:rsidRPr="00C32CC6">
              <w:rPr>
                <w:rFonts w:asciiTheme="minorHAnsi" w:hAnsiTheme="minorHAnsi" w:cs="Calibri"/>
                <w:sz w:val="24"/>
                <w:szCs w:val="24"/>
              </w:rPr>
              <w:t xml:space="preserve">continue to be successful, with information held </w:t>
            </w:r>
            <w:r w:rsidR="00232D91">
              <w:rPr>
                <w:rFonts w:asciiTheme="minorHAnsi" w:hAnsiTheme="minorHAnsi" w:cs="Calibri"/>
                <w:sz w:val="24"/>
                <w:szCs w:val="24"/>
              </w:rPr>
              <w:t>on 60% of</w:t>
            </w:r>
            <w:r w:rsidR="00453DDE" w:rsidRPr="00C32CC6">
              <w:rPr>
                <w:rFonts w:asciiTheme="minorHAnsi" w:hAnsiTheme="minorHAnsi" w:cs="Calibri"/>
                <w:sz w:val="24"/>
                <w:szCs w:val="24"/>
              </w:rPr>
              <w:t xml:space="preserve"> the Register. </w:t>
            </w:r>
            <w:r w:rsidR="00232D91">
              <w:rPr>
                <w:rFonts w:asciiTheme="minorHAnsi" w:hAnsiTheme="minorHAnsi" w:cs="Calibri"/>
                <w:sz w:val="24"/>
                <w:szCs w:val="24"/>
              </w:rPr>
              <w:t>A push for the remaining architects to provide E&amp;D data will be made in the first half of 2020.</w:t>
            </w:r>
          </w:p>
        </w:tc>
      </w:tr>
      <w:tr w:rsidR="00074083" w:rsidRPr="00C32CC6" w:rsidTr="00306131">
        <w:trPr>
          <w:gridAfter w:val="1"/>
          <w:wAfter w:w="35" w:type="dxa"/>
        </w:trPr>
        <w:tc>
          <w:tcPr>
            <w:tcW w:w="550" w:type="dxa"/>
            <w:gridSpan w:val="2"/>
            <w:vMerge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</w:p>
        </w:tc>
        <w:tc>
          <w:tcPr>
            <w:tcW w:w="9304" w:type="dxa"/>
            <w:gridSpan w:val="2"/>
            <w:shd w:val="clear" w:color="auto" w:fill="auto"/>
          </w:tcPr>
          <w:p w:rsidR="006F5E50" w:rsidRDefault="006F5E50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548DD4"/>
                <w:sz w:val="24"/>
                <w:szCs w:val="24"/>
              </w:rPr>
            </w:pPr>
          </w:p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 w:cs="Calibri"/>
                <w:b/>
                <w:color w:val="4F81BD"/>
                <w:sz w:val="24"/>
                <w:szCs w:val="24"/>
              </w:rPr>
            </w:pPr>
            <w:r w:rsidRPr="00C32CC6">
              <w:rPr>
                <w:rFonts w:asciiTheme="minorHAnsi" w:hAnsiTheme="minorHAnsi" w:cs="Calibri"/>
                <w:b/>
                <w:color w:val="548DD4"/>
                <w:sz w:val="24"/>
                <w:szCs w:val="24"/>
              </w:rPr>
              <w:t>Further Actions</w:t>
            </w:r>
          </w:p>
        </w:tc>
      </w:tr>
      <w:tr w:rsidR="00074083" w:rsidRPr="00C32CC6" w:rsidTr="00306131">
        <w:trPr>
          <w:gridAfter w:val="1"/>
          <w:wAfter w:w="35" w:type="dxa"/>
        </w:trPr>
        <w:tc>
          <w:tcPr>
            <w:tcW w:w="550" w:type="dxa"/>
            <w:gridSpan w:val="2"/>
            <w:vMerge/>
            <w:shd w:val="clear" w:color="auto" w:fill="auto"/>
          </w:tcPr>
          <w:p w:rsidR="00074083" w:rsidRPr="00C32CC6" w:rsidRDefault="00074083" w:rsidP="00161481">
            <w:pPr>
              <w:spacing w:before="40" w:after="4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04" w:type="dxa"/>
            <w:gridSpan w:val="2"/>
            <w:shd w:val="clear" w:color="auto" w:fill="auto"/>
          </w:tcPr>
          <w:p w:rsidR="00074083" w:rsidRPr="00C32CC6" w:rsidRDefault="00074083" w:rsidP="00232D91">
            <w:pPr>
              <w:ind w:left="17" w:hanging="11"/>
              <w:rPr>
                <w:rFonts w:asciiTheme="minorHAnsi" w:hAnsiTheme="minorHAnsi" w:cs="Calibri"/>
                <w:b/>
                <w:color w:val="548DD4"/>
                <w:sz w:val="24"/>
                <w:szCs w:val="24"/>
              </w:rPr>
            </w:pPr>
            <w:r w:rsidRPr="00C32CC6">
              <w:rPr>
                <w:rFonts w:asciiTheme="minorHAnsi" w:hAnsiTheme="minorHAnsi"/>
                <w:sz w:val="24"/>
                <w:szCs w:val="24"/>
              </w:rPr>
              <w:t xml:space="preserve">Any feedback on the content and quality of this report will be used </w:t>
            </w:r>
            <w:r w:rsidR="003E189D" w:rsidRPr="00C32CC6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232D91">
              <w:rPr>
                <w:rFonts w:asciiTheme="minorHAnsi" w:hAnsiTheme="minorHAnsi"/>
                <w:sz w:val="24"/>
                <w:szCs w:val="24"/>
              </w:rPr>
              <w:t>inform</w:t>
            </w:r>
            <w:r w:rsidR="003E189D" w:rsidRPr="00C32CC6">
              <w:rPr>
                <w:rFonts w:asciiTheme="minorHAnsi" w:hAnsiTheme="minorHAnsi"/>
                <w:sz w:val="24"/>
                <w:szCs w:val="24"/>
              </w:rPr>
              <w:t xml:space="preserve"> the new style for reporting on ARB’s impact</w:t>
            </w:r>
            <w:r w:rsidR="00232D91">
              <w:rPr>
                <w:rFonts w:asciiTheme="minorHAnsi" w:hAnsiTheme="minorHAnsi"/>
                <w:sz w:val="24"/>
                <w:szCs w:val="24"/>
              </w:rPr>
              <w:t xml:space="preserve"> after a session with the Board</w:t>
            </w:r>
            <w:r w:rsidR="003E189D" w:rsidRPr="00C32CC6">
              <w:rPr>
                <w:rFonts w:asciiTheme="minorHAnsi" w:hAnsiTheme="minorHAnsi"/>
                <w:sz w:val="24"/>
                <w:szCs w:val="24"/>
              </w:rPr>
              <w:t>.</w:t>
            </w:r>
            <w:r w:rsidR="00B717E8" w:rsidRPr="00C32CC6">
              <w:rPr>
                <w:rFonts w:asciiTheme="minorHAnsi" w:hAnsiTheme="minorHAnsi" w:cs="Calibri"/>
                <w:b/>
                <w:color w:val="548DD4"/>
                <w:sz w:val="24"/>
                <w:szCs w:val="24"/>
              </w:rPr>
              <w:t xml:space="preserve"> </w:t>
            </w:r>
          </w:p>
        </w:tc>
      </w:tr>
    </w:tbl>
    <w:p w:rsidR="0057381D" w:rsidRPr="00C32CC6" w:rsidRDefault="0057381D" w:rsidP="00627501">
      <w:pPr>
        <w:spacing w:before="40" w:after="40" w:line="240" w:lineRule="atLeast"/>
        <w:rPr>
          <w:rFonts w:asciiTheme="minorHAnsi" w:hAnsiTheme="minorHAnsi"/>
          <w:sz w:val="24"/>
          <w:szCs w:val="24"/>
        </w:rPr>
      </w:pPr>
    </w:p>
    <w:sectPr w:rsidR="0057381D" w:rsidRPr="00C32CC6" w:rsidSect="00653153">
      <w:headerReference w:type="default" r:id="rId11"/>
      <w:footerReference w:type="default" r:id="rId12"/>
      <w:pgSz w:w="11906" w:h="16838" w:code="9"/>
      <w:pgMar w:top="567" w:right="1134" w:bottom="1134" w:left="1134" w:header="720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5C" w:rsidRDefault="007B7C5C">
      <w:r>
        <w:separator/>
      </w:r>
    </w:p>
  </w:endnote>
  <w:endnote w:type="continuationSeparator" w:id="0">
    <w:p w:rsidR="007B7C5C" w:rsidRDefault="007B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65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D0" w:rsidRPr="00062314" w:rsidRDefault="0012207C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Board</w:t>
    </w:r>
    <w:r w:rsidR="00062314">
      <w:rPr>
        <w:rFonts w:ascii="Calibri" w:hAnsi="Calibri" w:cs="Calibri"/>
        <w:sz w:val="16"/>
        <w:szCs w:val="16"/>
      </w:rPr>
      <w:t xml:space="preserve"> M</w:t>
    </w:r>
    <w:r w:rsidR="00E02CD0" w:rsidRPr="00062314">
      <w:rPr>
        <w:rFonts w:ascii="Calibri" w:hAnsi="Calibri" w:cs="Calibri"/>
        <w:sz w:val="16"/>
        <w:szCs w:val="16"/>
      </w:rPr>
      <w:t>eeting</w:t>
    </w:r>
  </w:p>
  <w:p w:rsidR="00E02CD0" w:rsidRPr="00062314" w:rsidRDefault="008D6387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27 January 2020</w:t>
    </w:r>
  </w:p>
  <w:p w:rsidR="00E02CD0" w:rsidRPr="00062314" w:rsidRDefault="0012207C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Open</w:t>
    </w:r>
    <w:r w:rsidR="00CC30F6" w:rsidRPr="00062314">
      <w:rPr>
        <w:rFonts w:ascii="Calibri" w:hAnsi="Calibri" w:cs="Calibri"/>
        <w:sz w:val="16"/>
        <w:szCs w:val="16"/>
      </w:rPr>
      <w:t xml:space="preserve"> S</w:t>
    </w:r>
    <w:r w:rsidR="00E02CD0" w:rsidRPr="00062314">
      <w:rPr>
        <w:rFonts w:ascii="Calibri" w:hAnsi="Calibri" w:cs="Calibri"/>
        <w:sz w:val="16"/>
        <w:szCs w:val="16"/>
      </w:rPr>
      <w:t xml:space="preserve">ession </w:t>
    </w:r>
  </w:p>
  <w:p w:rsidR="00E02CD0" w:rsidRDefault="00E02C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5C" w:rsidRDefault="007B7C5C">
      <w:r>
        <w:separator/>
      </w:r>
    </w:p>
  </w:footnote>
  <w:footnote w:type="continuationSeparator" w:id="0">
    <w:p w:rsidR="007B7C5C" w:rsidRDefault="007B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8" w:rsidRDefault="00E02CD0" w:rsidP="005D5486">
    <w:pPr>
      <w:tabs>
        <w:tab w:val="left" w:pos="1134"/>
      </w:tabs>
      <w:ind w:left="567" w:hanging="567"/>
      <w:jc w:val="right"/>
      <w:rPr>
        <w:rFonts w:ascii="Calibri" w:hAnsi="Calibri" w:cs="Calibri"/>
        <w:b/>
        <w:sz w:val="24"/>
        <w:szCs w:val="24"/>
      </w:rPr>
    </w:pPr>
    <w:r w:rsidRPr="000273C9">
      <w:rPr>
        <w:rFonts w:ascii="Calibri" w:hAnsi="Calibri" w:cs="Calibri"/>
        <w:b/>
        <w:sz w:val="24"/>
        <w:szCs w:val="24"/>
      </w:rPr>
      <w:t>Continuation of agenda item</w:t>
    </w:r>
    <w:r w:rsidRPr="000273C9">
      <w:rPr>
        <w:rFonts w:ascii="Calibri" w:hAnsi="Calibri" w:cs="Calibri"/>
        <w:b/>
        <w:sz w:val="24"/>
        <w:szCs w:val="24"/>
      </w:rPr>
      <w:fldChar w:fldCharType="begin"/>
    </w:r>
    <w:r w:rsidRPr="000273C9">
      <w:rPr>
        <w:rFonts w:ascii="Calibri" w:hAnsi="Calibri" w:cs="Calibri"/>
        <w:b/>
        <w:sz w:val="24"/>
        <w:szCs w:val="24"/>
      </w:rPr>
      <w:instrText xml:space="preserve"> QUOTE   \* MERGEFORMAT </w:instrText>
    </w:r>
    <w:r w:rsidRPr="000273C9">
      <w:rPr>
        <w:rFonts w:ascii="Calibri" w:hAnsi="Calibri" w:cs="Calibri"/>
        <w:b/>
        <w:sz w:val="24"/>
        <w:szCs w:val="24"/>
      </w:rPr>
      <w:fldChar w:fldCharType="end"/>
    </w:r>
    <w:r w:rsidRPr="000273C9">
      <w:rPr>
        <w:rFonts w:ascii="Calibri" w:hAnsi="Calibri" w:cs="Calibri"/>
        <w:b/>
        <w:sz w:val="24"/>
        <w:szCs w:val="24"/>
      </w:rPr>
      <w:t xml:space="preserve"> </w:t>
    </w:r>
    <w:r w:rsidR="00BC26B9">
      <w:rPr>
        <w:rFonts w:ascii="Calibri" w:hAnsi="Calibri" w:cs="Calibri"/>
        <w:b/>
        <w:sz w:val="24"/>
        <w:szCs w:val="24"/>
      </w:rPr>
      <w:t>9 (ii)</w:t>
    </w:r>
  </w:p>
  <w:p w:rsidR="00E02CD0" w:rsidRPr="000273C9" w:rsidRDefault="00E02CD0" w:rsidP="005D5486">
    <w:pPr>
      <w:tabs>
        <w:tab w:val="left" w:pos="1134"/>
      </w:tabs>
      <w:ind w:left="567" w:hanging="567"/>
      <w:jc w:val="right"/>
      <w:rPr>
        <w:rFonts w:ascii="Calibri" w:hAnsi="Calibri" w:cs="Calibri"/>
        <w:b/>
        <w:sz w:val="24"/>
        <w:szCs w:val="24"/>
      </w:rPr>
    </w:pPr>
    <w:r w:rsidRPr="000273C9">
      <w:rPr>
        <w:rFonts w:ascii="Calibri" w:hAnsi="Calibri" w:cs="Calibri"/>
        <w:b/>
        <w:sz w:val="24"/>
        <w:szCs w:val="24"/>
      </w:rPr>
      <w:fldChar w:fldCharType="begin"/>
    </w:r>
    <w:r w:rsidRPr="000273C9">
      <w:rPr>
        <w:rFonts w:ascii="Calibri" w:hAnsi="Calibri" w:cs="Calibri"/>
        <w:b/>
        <w:sz w:val="24"/>
        <w:szCs w:val="24"/>
      </w:rPr>
      <w:instrText xml:space="preserve"> QUOTE   \* MERGEFORMAT </w:instrText>
    </w:r>
    <w:r w:rsidRPr="000273C9">
      <w:rPr>
        <w:rFonts w:ascii="Calibri" w:hAnsi="Calibri" w:cs="Calibri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4B3"/>
    <w:multiLevelType w:val="multilevel"/>
    <w:tmpl w:val="8EAA8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72A673A"/>
    <w:multiLevelType w:val="hybridMultilevel"/>
    <w:tmpl w:val="05E0B7AE"/>
    <w:lvl w:ilvl="0" w:tplc="EF2CFE7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3ADB"/>
    <w:multiLevelType w:val="hybridMultilevel"/>
    <w:tmpl w:val="80F0F89A"/>
    <w:lvl w:ilvl="0" w:tplc="B57494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46AD"/>
    <w:multiLevelType w:val="hybridMultilevel"/>
    <w:tmpl w:val="4858DB38"/>
    <w:lvl w:ilvl="0" w:tplc="EF2CFE7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551B"/>
    <w:multiLevelType w:val="hybridMultilevel"/>
    <w:tmpl w:val="653E5D3E"/>
    <w:lvl w:ilvl="0" w:tplc="41C4894C">
      <w:start w:val="1"/>
      <w:numFmt w:val="lowerRoman"/>
      <w:lvlText w:val="%1."/>
      <w:lvlJc w:val="right"/>
      <w:pPr>
        <w:tabs>
          <w:tab w:val="num" w:pos="340"/>
        </w:tabs>
        <w:ind w:left="340" w:hanging="52"/>
      </w:pPr>
      <w:rPr>
        <w:rFonts w:ascii="Helvetica 65 Medium" w:hAnsi="Helvetica 65 Medium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90"/>
    <w:rsid w:val="000015F4"/>
    <w:rsid w:val="000044D8"/>
    <w:rsid w:val="00010196"/>
    <w:rsid w:val="00010AC6"/>
    <w:rsid w:val="00011CD5"/>
    <w:rsid w:val="0001471C"/>
    <w:rsid w:val="000205C1"/>
    <w:rsid w:val="000273C9"/>
    <w:rsid w:val="0003256F"/>
    <w:rsid w:val="00034550"/>
    <w:rsid w:val="000370FE"/>
    <w:rsid w:val="00041C07"/>
    <w:rsid w:val="00043BD3"/>
    <w:rsid w:val="000473AD"/>
    <w:rsid w:val="000552AB"/>
    <w:rsid w:val="00062314"/>
    <w:rsid w:val="0006597F"/>
    <w:rsid w:val="00074083"/>
    <w:rsid w:val="00075BF0"/>
    <w:rsid w:val="00083A8D"/>
    <w:rsid w:val="000A63A2"/>
    <w:rsid w:val="000B557E"/>
    <w:rsid w:val="000C067C"/>
    <w:rsid w:val="000C2081"/>
    <w:rsid w:val="000C3298"/>
    <w:rsid w:val="000C6544"/>
    <w:rsid w:val="000D1D67"/>
    <w:rsid w:val="000E5497"/>
    <w:rsid w:val="000E6913"/>
    <w:rsid w:val="000F777A"/>
    <w:rsid w:val="000F7C8F"/>
    <w:rsid w:val="00101B16"/>
    <w:rsid w:val="00102268"/>
    <w:rsid w:val="00102A9F"/>
    <w:rsid w:val="00104CBF"/>
    <w:rsid w:val="00104F3E"/>
    <w:rsid w:val="001207EE"/>
    <w:rsid w:val="00121212"/>
    <w:rsid w:val="0012207C"/>
    <w:rsid w:val="0012250C"/>
    <w:rsid w:val="00123AC3"/>
    <w:rsid w:val="00131386"/>
    <w:rsid w:val="00151E18"/>
    <w:rsid w:val="00152D63"/>
    <w:rsid w:val="0015319D"/>
    <w:rsid w:val="00155129"/>
    <w:rsid w:val="00161481"/>
    <w:rsid w:val="001628F6"/>
    <w:rsid w:val="0016390A"/>
    <w:rsid w:val="0019191A"/>
    <w:rsid w:val="001977EC"/>
    <w:rsid w:val="001A6473"/>
    <w:rsid w:val="001B1863"/>
    <w:rsid w:val="001C428C"/>
    <w:rsid w:val="001C7190"/>
    <w:rsid w:val="001E021C"/>
    <w:rsid w:val="001E08E6"/>
    <w:rsid w:val="001E391A"/>
    <w:rsid w:val="001F1224"/>
    <w:rsid w:val="001F71B4"/>
    <w:rsid w:val="00205D29"/>
    <w:rsid w:val="00211D96"/>
    <w:rsid w:val="00220D76"/>
    <w:rsid w:val="00222837"/>
    <w:rsid w:val="0022306A"/>
    <w:rsid w:val="002238C2"/>
    <w:rsid w:val="00224BEA"/>
    <w:rsid w:val="00232D91"/>
    <w:rsid w:val="00233502"/>
    <w:rsid w:val="00241CB9"/>
    <w:rsid w:val="00241E2E"/>
    <w:rsid w:val="002438DB"/>
    <w:rsid w:val="00245438"/>
    <w:rsid w:val="00250472"/>
    <w:rsid w:val="002525C0"/>
    <w:rsid w:val="0025389D"/>
    <w:rsid w:val="00254562"/>
    <w:rsid w:val="002667A5"/>
    <w:rsid w:val="002818DB"/>
    <w:rsid w:val="00282A89"/>
    <w:rsid w:val="00290707"/>
    <w:rsid w:val="002925A2"/>
    <w:rsid w:val="002B0F04"/>
    <w:rsid w:val="002B1F03"/>
    <w:rsid w:val="002B202B"/>
    <w:rsid w:val="002C17B9"/>
    <w:rsid w:val="002C4F8D"/>
    <w:rsid w:val="00301823"/>
    <w:rsid w:val="00306131"/>
    <w:rsid w:val="00306AA9"/>
    <w:rsid w:val="0031202A"/>
    <w:rsid w:val="00323AA7"/>
    <w:rsid w:val="003334CD"/>
    <w:rsid w:val="003339C7"/>
    <w:rsid w:val="003342C9"/>
    <w:rsid w:val="003462CB"/>
    <w:rsid w:val="0035263D"/>
    <w:rsid w:val="00353BB5"/>
    <w:rsid w:val="00354A0D"/>
    <w:rsid w:val="003577EA"/>
    <w:rsid w:val="00361FD2"/>
    <w:rsid w:val="003659ED"/>
    <w:rsid w:val="00371372"/>
    <w:rsid w:val="00373B52"/>
    <w:rsid w:val="003767D4"/>
    <w:rsid w:val="00380116"/>
    <w:rsid w:val="003A10E2"/>
    <w:rsid w:val="003A54E0"/>
    <w:rsid w:val="003A58F6"/>
    <w:rsid w:val="003C4AED"/>
    <w:rsid w:val="003D2202"/>
    <w:rsid w:val="003E189D"/>
    <w:rsid w:val="003F0768"/>
    <w:rsid w:val="003F4696"/>
    <w:rsid w:val="003F5F2A"/>
    <w:rsid w:val="003F6506"/>
    <w:rsid w:val="004016E7"/>
    <w:rsid w:val="0042145F"/>
    <w:rsid w:val="0042428A"/>
    <w:rsid w:val="00432CA1"/>
    <w:rsid w:val="00433C1F"/>
    <w:rsid w:val="004420E6"/>
    <w:rsid w:val="00451033"/>
    <w:rsid w:val="004526A6"/>
    <w:rsid w:val="00453DDE"/>
    <w:rsid w:val="00453E5C"/>
    <w:rsid w:val="00455AAC"/>
    <w:rsid w:val="004702F4"/>
    <w:rsid w:val="004817A2"/>
    <w:rsid w:val="00483259"/>
    <w:rsid w:val="00484468"/>
    <w:rsid w:val="00495865"/>
    <w:rsid w:val="00496AC8"/>
    <w:rsid w:val="004979BA"/>
    <w:rsid w:val="004B3852"/>
    <w:rsid w:val="004B43A6"/>
    <w:rsid w:val="004B4E38"/>
    <w:rsid w:val="004B4EBA"/>
    <w:rsid w:val="004B6B82"/>
    <w:rsid w:val="004C583A"/>
    <w:rsid w:val="004E0B16"/>
    <w:rsid w:val="004E0C21"/>
    <w:rsid w:val="004F4FA5"/>
    <w:rsid w:val="005016C3"/>
    <w:rsid w:val="0050369D"/>
    <w:rsid w:val="005106CD"/>
    <w:rsid w:val="005163E2"/>
    <w:rsid w:val="00523614"/>
    <w:rsid w:val="005249F9"/>
    <w:rsid w:val="005278FA"/>
    <w:rsid w:val="00540C82"/>
    <w:rsid w:val="005579DA"/>
    <w:rsid w:val="00561FDD"/>
    <w:rsid w:val="00562390"/>
    <w:rsid w:val="0057381D"/>
    <w:rsid w:val="005838C8"/>
    <w:rsid w:val="0059386D"/>
    <w:rsid w:val="00595F38"/>
    <w:rsid w:val="00596829"/>
    <w:rsid w:val="005A436D"/>
    <w:rsid w:val="005B5108"/>
    <w:rsid w:val="005D06EA"/>
    <w:rsid w:val="005D356A"/>
    <w:rsid w:val="005D494F"/>
    <w:rsid w:val="005D5486"/>
    <w:rsid w:val="005E75E4"/>
    <w:rsid w:val="00603B1E"/>
    <w:rsid w:val="00607224"/>
    <w:rsid w:val="00622055"/>
    <w:rsid w:val="006234CE"/>
    <w:rsid w:val="00624B5C"/>
    <w:rsid w:val="00627501"/>
    <w:rsid w:val="00632057"/>
    <w:rsid w:val="00633785"/>
    <w:rsid w:val="00635EEF"/>
    <w:rsid w:val="0064461B"/>
    <w:rsid w:val="00653153"/>
    <w:rsid w:val="00654751"/>
    <w:rsid w:val="00657792"/>
    <w:rsid w:val="00672296"/>
    <w:rsid w:val="0068739F"/>
    <w:rsid w:val="00694D37"/>
    <w:rsid w:val="006A1058"/>
    <w:rsid w:val="006B3F94"/>
    <w:rsid w:val="006B507A"/>
    <w:rsid w:val="006B5BD6"/>
    <w:rsid w:val="006B6EA3"/>
    <w:rsid w:val="006C0DDC"/>
    <w:rsid w:val="006C2B50"/>
    <w:rsid w:val="006D5E7C"/>
    <w:rsid w:val="006E6E45"/>
    <w:rsid w:val="006F2E13"/>
    <w:rsid w:val="006F5E50"/>
    <w:rsid w:val="0070645A"/>
    <w:rsid w:val="007072F2"/>
    <w:rsid w:val="00707B87"/>
    <w:rsid w:val="00707C2B"/>
    <w:rsid w:val="0071097D"/>
    <w:rsid w:val="00714A11"/>
    <w:rsid w:val="007205E8"/>
    <w:rsid w:val="00724755"/>
    <w:rsid w:val="0073540A"/>
    <w:rsid w:val="00740025"/>
    <w:rsid w:val="00745B82"/>
    <w:rsid w:val="00756534"/>
    <w:rsid w:val="00757B82"/>
    <w:rsid w:val="00761F72"/>
    <w:rsid w:val="00766CE4"/>
    <w:rsid w:val="00781A14"/>
    <w:rsid w:val="007925C5"/>
    <w:rsid w:val="007A7CBC"/>
    <w:rsid w:val="007B7C5C"/>
    <w:rsid w:val="007C0637"/>
    <w:rsid w:val="007C4F1E"/>
    <w:rsid w:val="007D30B9"/>
    <w:rsid w:val="007F594C"/>
    <w:rsid w:val="008026D0"/>
    <w:rsid w:val="00804E29"/>
    <w:rsid w:val="008133E5"/>
    <w:rsid w:val="00833324"/>
    <w:rsid w:val="00833E88"/>
    <w:rsid w:val="00842819"/>
    <w:rsid w:val="0086129B"/>
    <w:rsid w:val="00871226"/>
    <w:rsid w:val="008752EE"/>
    <w:rsid w:val="008763E9"/>
    <w:rsid w:val="008840D7"/>
    <w:rsid w:val="00891DAC"/>
    <w:rsid w:val="008927C4"/>
    <w:rsid w:val="008A7CAD"/>
    <w:rsid w:val="008B286B"/>
    <w:rsid w:val="008B40B6"/>
    <w:rsid w:val="008B78FD"/>
    <w:rsid w:val="008C205B"/>
    <w:rsid w:val="008C33FB"/>
    <w:rsid w:val="008D048F"/>
    <w:rsid w:val="008D578F"/>
    <w:rsid w:val="008D6387"/>
    <w:rsid w:val="00901A18"/>
    <w:rsid w:val="00902FCF"/>
    <w:rsid w:val="00903A12"/>
    <w:rsid w:val="009112FF"/>
    <w:rsid w:val="009302BC"/>
    <w:rsid w:val="009335F1"/>
    <w:rsid w:val="009402F1"/>
    <w:rsid w:val="00941551"/>
    <w:rsid w:val="00943FC4"/>
    <w:rsid w:val="00973FD5"/>
    <w:rsid w:val="009750A8"/>
    <w:rsid w:val="00976EAA"/>
    <w:rsid w:val="0097758B"/>
    <w:rsid w:val="009A04D4"/>
    <w:rsid w:val="009B2B95"/>
    <w:rsid w:val="009D04EB"/>
    <w:rsid w:val="009D46EF"/>
    <w:rsid w:val="009E20DE"/>
    <w:rsid w:val="009E3192"/>
    <w:rsid w:val="009E7B1E"/>
    <w:rsid w:val="009F10A1"/>
    <w:rsid w:val="009F16B6"/>
    <w:rsid w:val="00A02570"/>
    <w:rsid w:val="00A11E4E"/>
    <w:rsid w:val="00A217C4"/>
    <w:rsid w:val="00A23EFF"/>
    <w:rsid w:val="00A314F2"/>
    <w:rsid w:val="00A318A6"/>
    <w:rsid w:val="00A3277C"/>
    <w:rsid w:val="00A35F47"/>
    <w:rsid w:val="00A46771"/>
    <w:rsid w:val="00A66E7F"/>
    <w:rsid w:val="00A72692"/>
    <w:rsid w:val="00A90810"/>
    <w:rsid w:val="00A908A0"/>
    <w:rsid w:val="00A974FC"/>
    <w:rsid w:val="00AA6234"/>
    <w:rsid w:val="00AB16F0"/>
    <w:rsid w:val="00AB508F"/>
    <w:rsid w:val="00AC2445"/>
    <w:rsid w:val="00AC3D8D"/>
    <w:rsid w:val="00AC3FE2"/>
    <w:rsid w:val="00AC74F8"/>
    <w:rsid w:val="00AD575E"/>
    <w:rsid w:val="00AE18CB"/>
    <w:rsid w:val="00AE1AA2"/>
    <w:rsid w:val="00AF3E50"/>
    <w:rsid w:val="00B00031"/>
    <w:rsid w:val="00B35843"/>
    <w:rsid w:val="00B41D6A"/>
    <w:rsid w:val="00B5062D"/>
    <w:rsid w:val="00B54752"/>
    <w:rsid w:val="00B62B1C"/>
    <w:rsid w:val="00B656D8"/>
    <w:rsid w:val="00B707DF"/>
    <w:rsid w:val="00B717E8"/>
    <w:rsid w:val="00B730AC"/>
    <w:rsid w:val="00B84527"/>
    <w:rsid w:val="00B91551"/>
    <w:rsid w:val="00B926DB"/>
    <w:rsid w:val="00B966F5"/>
    <w:rsid w:val="00B976AD"/>
    <w:rsid w:val="00BA15AB"/>
    <w:rsid w:val="00BA6F60"/>
    <w:rsid w:val="00BB32D4"/>
    <w:rsid w:val="00BC010C"/>
    <w:rsid w:val="00BC26B9"/>
    <w:rsid w:val="00BE015A"/>
    <w:rsid w:val="00BF707F"/>
    <w:rsid w:val="00C12BE9"/>
    <w:rsid w:val="00C17258"/>
    <w:rsid w:val="00C2705C"/>
    <w:rsid w:val="00C271B8"/>
    <w:rsid w:val="00C32CC6"/>
    <w:rsid w:val="00C43F59"/>
    <w:rsid w:val="00C4677F"/>
    <w:rsid w:val="00C649C8"/>
    <w:rsid w:val="00C80270"/>
    <w:rsid w:val="00C849CA"/>
    <w:rsid w:val="00C84DCA"/>
    <w:rsid w:val="00C927EE"/>
    <w:rsid w:val="00C96274"/>
    <w:rsid w:val="00CB12C8"/>
    <w:rsid w:val="00CB2D61"/>
    <w:rsid w:val="00CC30F6"/>
    <w:rsid w:val="00CD17D4"/>
    <w:rsid w:val="00CD368C"/>
    <w:rsid w:val="00CD5401"/>
    <w:rsid w:val="00CD7807"/>
    <w:rsid w:val="00CE26C4"/>
    <w:rsid w:val="00CE6FCC"/>
    <w:rsid w:val="00CF015A"/>
    <w:rsid w:val="00CF13E7"/>
    <w:rsid w:val="00CF2470"/>
    <w:rsid w:val="00CF52A8"/>
    <w:rsid w:val="00CF7C88"/>
    <w:rsid w:val="00D03967"/>
    <w:rsid w:val="00D10E5B"/>
    <w:rsid w:val="00D168CC"/>
    <w:rsid w:val="00D173AF"/>
    <w:rsid w:val="00D20421"/>
    <w:rsid w:val="00D21418"/>
    <w:rsid w:val="00D36A98"/>
    <w:rsid w:val="00D36C19"/>
    <w:rsid w:val="00D416B0"/>
    <w:rsid w:val="00D44C3E"/>
    <w:rsid w:val="00D65FA7"/>
    <w:rsid w:val="00D740A0"/>
    <w:rsid w:val="00D74923"/>
    <w:rsid w:val="00D74954"/>
    <w:rsid w:val="00D75CD2"/>
    <w:rsid w:val="00D80101"/>
    <w:rsid w:val="00D813C1"/>
    <w:rsid w:val="00D82549"/>
    <w:rsid w:val="00D86B4A"/>
    <w:rsid w:val="00DB2703"/>
    <w:rsid w:val="00DB2D00"/>
    <w:rsid w:val="00DB7589"/>
    <w:rsid w:val="00DC0FAF"/>
    <w:rsid w:val="00DC601D"/>
    <w:rsid w:val="00DD09B6"/>
    <w:rsid w:val="00DE08F0"/>
    <w:rsid w:val="00DF4765"/>
    <w:rsid w:val="00E02CD0"/>
    <w:rsid w:val="00E20662"/>
    <w:rsid w:val="00E24A5F"/>
    <w:rsid w:val="00E327D4"/>
    <w:rsid w:val="00E34285"/>
    <w:rsid w:val="00E3428E"/>
    <w:rsid w:val="00E36B3A"/>
    <w:rsid w:val="00E43A50"/>
    <w:rsid w:val="00E43C39"/>
    <w:rsid w:val="00E57915"/>
    <w:rsid w:val="00E74669"/>
    <w:rsid w:val="00E9361C"/>
    <w:rsid w:val="00E950D4"/>
    <w:rsid w:val="00EA1AC5"/>
    <w:rsid w:val="00EC1707"/>
    <w:rsid w:val="00ED1A7A"/>
    <w:rsid w:val="00ED2874"/>
    <w:rsid w:val="00ED4D13"/>
    <w:rsid w:val="00EE1399"/>
    <w:rsid w:val="00EE2FED"/>
    <w:rsid w:val="00EF1DCB"/>
    <w:rsid w:val="00EF5C48"/>
    <w:rsid w:val="00F045BA"/>
    <w:rsid w:val="00F07C9A"/>
    <w:rsid w:val="00F142A0"/>
    <w:rsid w:val="00F301FB"/>
    <w:rsid w:val="00F34A4D"/>
    <w:rsid w:val="00F353A7"/>
    <w:rsid w:val="00F4103E"/>
    <w:rsid w:val="00F45379"/>
    <w:rsid w:val="00F5042D"/>
    <w:rsid w:val="00F505FE"/>
    <w:rsid w:val="00F75CA3"/>
    <w:rsid w:val="00F77EAD"/>
    <w:rsid w:val="00F8755F"/>
    <w:rsid w:val="00F971D7"/>
    <w:rsid w:val="00FB0C3C"/>
    <w:rsid w:val="00FB5DC3"/>
    <w:rsid w:val="00FC1990"/>
    <w:rsid w:val="00FC271E"/>
    <w:rsid w:val="00FC6D24"/>
    <w:rsid w:val="00FE726F"/>
    <w:rsid w:val="00FF0C7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2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268"/>
    <w:pPr>
      <w:tabs>
        <w:tab w:val="center" w:pos="4320"/>
        <w:tab w:val="right" w:pos="8640"/>
      </w:tabs>
    </w:pPr>
  </w:style>
  <w:style w:type="character" w:styleId="Hyperlink">
    <w:name w:val="Hyperlink"/>
    <w:rsid w:val="001A6473"/>
    <w:rPr>
      <w:color w:val="0000FF"/>
      <w:u w:val="single"/>
    </w:rPr>
  </w:style>
  <w:style w:type="character" w:styleId="FollowedHyperlink">
    <w:name w:val="FollowedHyperlink"/>
    <w:rsid w:val="009112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E7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B6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B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B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B8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2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268"/>
    <w:pPr>
      <w:tabs>
        <w:tab w:val="center" w:pos="4320"/>
        <w:tab w:val="right" w:pos="8640"/>
      </w:tabs>
    </w:pPr>
  </w:style>
  <w:style w:type="character" w:styleId="Hyperlink">
    <w:name w:val="Hyperlink"/>
    <w:rsid w:val="001A6473"/>
    <w:rPr>
      <w:color w:val="0000FF"/>
      <w:u w:val="single"/>
    </w:rPr>
  </w:style>
  <w:style w:type="character" w:styleId="FollowedHyperlink">
    <w:name w:val="FollowedHyperlink"/>
    <w:rsid w:val="009112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E7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B6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B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B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B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monh@arb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F24F-3AD6-4259-BB24-8685DAC1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 Committee Paper</vt:lpstr>
    </vt:vector>
  </TitlesOfParts>
  <Company>ARB</Company>
  <LinksUpToDate>false</LinksUpToDate>
  <CharactersWithSpaces>3280</CharactersWithSpaces>
  <SharedDoc>false</SharedDoc>
  <HLinks>
    <vt:vector size="6" baseType="variant"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mailto:name@arb.org.uk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 Committee Paper</dc:title>
  <dc:creator>Vicky Aitchison</dc:creator>
  <cp:lastModifiedBy>Kristen Hewett</cp:lastModifiedBy>
  <cp:revision>2</cp:revision>
  <cp:lastPrinted>2018-01-31T16:46:00Z</cp:lastPrinted>
  <dcterms:created xsi:type="dcterms:W3CDTF">2020-01-25T14:56:00Z</dcterms:created>
  <dcterms:modified xsi:type="dcterms:W3CDTF">2020-01-25T14:56:00Z</dcterms:modified>
</cp:coreProperties>
</file>